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2049BF">
      <w:pPr>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1A83D768" w:rsidR="00846218" w:rsidRPr="00851A58" w:rsidRDefault="00846218" w:rsidP="00BE1F79">
            <w:pPr>
              <w:tabs>
                <w:tab w:val="left" w:pos="2755"/>
              </w:tabs>
              <w:jc w:val="left"/>
              <w:rPr>
                <w:rFonts w:ascii="Arial" w:hAnsi="Arial" w:cs="Arial"/>
                <w:i/>
                <w:iCs/>
                <w:sz w:val="24"/>
                <w:szCs w:val="24"/>
              </w:rPr>
            </w:pPr>
            <w:r w:rsidRPr="00AA3AA2">
              <w:rPr>
                <w:rFonts w:ascii="Arial" w:hAnsi="Arial" w:cs="Arial"/>
                <w:b/>
                <w:sz w:val="24"/>
                <w:szCs w:val="24"/>
              </w:rPr>
              <w:t xml:space="preserve">□ </w:t>
            </w:r>
            <w:r w:rsidRPr="00AA3AA2">
              <w:rPr>
                <w:rFonts w:ascii="Arial" w:hAnsi="Arial" w:cs="Arial"/>
                <w:sz w:val="24"/>
                <w:szCs w:val="24"/>
              </w:rPr>
              <w:t>Szkolenia warsztatowe</w:t>
            </w:r>
            <w:r w:rsidR="00851A58">
              <w:rPr>
                <w:rFonts w:ascii="Arial" w:hAnsi="Arial" w:cs="Arial"/>
                <w:sz w:val="24"/>
                <w:szCs w:val="24"/>
              </w:rPr>
              <w:t xml:space="preserve"> pn. </w:t>
            </w:r>
            <w:r w:rsidR="001A116C" w:rsidRPr="001A116C">
              <w:rPr>
                <w:rFonts w:ascii="Arial" w:hAnsi="Arial" w:cs="Arial"/>
                <w:b/>
                <w:bCs/>
                <w:i/>
                <w:iCs/>
                <w:sz w:val="24"/>
                <w:szCs w:val="24"/>
              </w:rPr>
              <w:t>Motywowanie do zmiany. Metody, narzędzia i techniki motywacyjne w pracy z osobą/rodziną</w:t>
            </w:r>
            <w:r w:rsidR="001A116C">
              <w:rPr>
                <w:rFonts w:ascii="Arial" w:hAnsi="Arial" w:cs="Arial"/>
                <w:b/>
                <w:bCs/>
                <w:i/>
                <w:iCs/>
                <w:sz w:val="24"/>
                <w:szCs w:val="24"/>
              </w:rPr>
              <w:t xml:space="preserve"> </w:t>
            </w:r>
            <w:r w:rsidR="00851A58" w:rsidRPr="00490831">
              <w:rPr>
                <w:rFonts w:ascii="Arial" w:hAnsi="Arial" w:cs="Arial"/>
                <w:b/>
                <w:bCs/>
                <w:i/>
                <w:iCs/>
                <w:sz w:val="24"/>
                <w:szCs w:val="24"/>
              </w:rPr>
              <w:t xml:space="preserve">– </w:t>
            </w:r>
            <w:r w:rsidR="001A116C">
              <w:rPr>
                <w:rFonts w:ascii="Arial" w:hAnsi="Arial" w:cs="Arial"/>
                <w:b/>
                <w:bCs/>
                <w:i/>
                <w:iCs/>
                <w:sz w:val="24"/>
                <w:szCs w:val="24"/>
              </w:rPr>
              <w:t>13</w:t>
            </w:r>
            <w:r w:rsidR="00851A58" w:rsidRPr="00490831">
              <w:rPr>
                <w:rFonts w:ascii="Arial" w:hAnsi="Arial" w:cs="Arial"/>
                <w:b/>
                <w:bCs/>
                <w:i/>
                <w:iCs/>
                <w:sz w:val="24"/>
                <w:szCs w:val="24"/>
              </w:rPr>
              <w:t>.0</w:t>
            </w:r>
            <w:r w:rsidR="001A116C">
              <w:rPr>
                <w:rFonts w:ascii="Arial" w:hAnsi="Arial" w:cs="Arial"/>
                <w:b/>
                <w:bCs/>
                <w:i/>
                <w:iCs/>
                <w:sz w:val="24"/>
                <w:szCs w:val="24"/>
              </w:rPr>
              <w:t>6</w:t>
            </w:r>
            <w:r w:rsidR="00851A58" w:rsidRPr="00490831">
              <w:rPr>
                <w:rFonts w:ascii="Arial" w:hAnsi="Arial" w:cs="Arial"/>
                <w:b/>
                <w:bCs/>
                <w:i/>
                <w:iCs/>
                <w:sz w:val="24"/>
                <w:szCs w:val="24"/>
              </w:rPr>
              <w:t>.2023 r.</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pn.„KOOPERACJE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facebooku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i Rybackiego oraz uchylającego rozporządzenie Rady (WE) nr 1083/2006 (Dz. Urz. UE L 347 z 20.12.2013, str. 320, z późn.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i uchylającego rozporządzenie Rady (WE) nr 1081/2006 (Dz. Urz. UE L 347 z 20.12.2013, str. 470, z późn.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F58A" w14:textId="77777777" w:rsidR="008A6E41" w:rsidRDefault="008A6E41" w:rsidP="005839D5">
      <w:pPr>
        <w:spacing w:line="240" w:lineRule="auto"/>
      </w:pPr>
      <w:r>
        <w:separator/>
      </w:r>
    </w:p>
  </w:endnote>
  <w:endnote w:type="continuationSeparator" w:id="0">
    <w:p w14:paraId="14F6D194" w14:textId="77777777" w:rsidR="008A6E41" w:rsidRDefault="008A6E41" w:rsidP="005839D5">
      <w:pPr>
        <w:spacing w:line="240" w:lineRule="auto"/>
      </w:pPr>
      <w:r>
        <w:continuationSeparator/>
      </w:r>
    </w:p>
  </w:endnote>
  <w:endnote w:type="continuationNotice" w:id="1">
    <w:p w14:paraId="3FD1E29F" w14:textId="77777777" w:rsidR="008A6E41" w:rsidRDefault="008A6E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FF64" w14:textId="77777777" w:rsidR="008A6E41" w:rsidRDefault="008A6E41" w:rsidP="005839D5">
      <w:pPr>
        <w:spacing w:line="240" w:lineRule="auto"/>
      </w:pPr>
      <w:r>
        <w:separator/>
      </w:r>
    </w:p>
  </w:footnote>
  <w:footnote w:type="continuationSeparator" w:id="0">
    <w:p w14:paraId="1967F5DB" w14:textId="77777777" w:rsidR="008A6E41" w:rsidRDefault="008A6E41" w:rsidP="005839D5">
      <w:pPr>
        <w:spacing w:line="240" w:lineRule="auto"/>
      </w:pPr>
      <w:r>
        <w:continuationSeparator/>
      </w:r>
    </w:p>
  </w:footnote>
  <w:footnote w:type="continuationNotice" w:id="1">
    <w:p w14:paraId="3C414D12" w14:textId="77777777" w:rsidR="008A6E41" w:rsidRDefault="008A6E41">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16C"/>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0831"/>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A58"/>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2697</Words>
  <Characters>16182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18842</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kszymura</cp:lastModifiedBy>
  <cp:revision>5</cp:revision>
  <cp:lastPrinted>2023-02-24T08:25:00Z</cp:lastPrinted>
  <dcterms:created xsi:type="dcterms:W3CDTF">2023-02-24T08:30:00Z</dcterms:created>
  <dcterms:modified xsi:type="dcterms:W3CDTF">2023-05-25T10:30:00Z</dcterms:modified>
</cp:coreProperties>
</file>